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C2F" w:rsidRDefault="00201ECE">
      <w:pPr>
        <w:pStyle w:val="berschrift1"/>
        <w:spacing w:after="240"/>
        <w:ind w:left="7938" w:hanging="7825"/>
        <w:rPr>
          <w:color w:val="7F7F7F" w:themeColor="text1" w:themeTint="80"/>
          <w:sz w:val="20"/>
          <w:szCs w:val="20"/>
        </w:rPr>
      </w:pPr>
      <w:r>
        <w:rPr>
          <w:color w:val="7F7F7F" w:themeColor="text1" w:themeTint="80"/>
          <w:sz w:val="20"/>
          <w:szCs w:val="20"/>
        </w:rPr>
        <w:t>Autor: Andreas Müller</w:t>
      </w:r>
      <w:r>
        <w:rPr>
          <w:color w:val="7F7F7F" w:themeColor="text1" w:themeTint="80"/>
          <w:sz w:val="20"/>
          <w:szCs w:val="20"/>
        </w:rPr>
        <w:tab/>
        <w:t>02.02.2026</w:t>
      </w:r>
    </w:p>
    <w:p w:rsidR="00357C2F" w:rsidRDefault="00201ECE">
      <w:pPr>
        <w:pStyle w:val="berschrift1"/>
        <w:spacing w:after="240"/>
        <w:ind w:left="113"/>
        <w:rPr>
          <w:rFonts w:ascii="Arial" w:hAnsi="Arial" w:cs="Arial"/>
          <w:color w:val="0076B9"/>
        </w:rPr>
      </w:pPr>
      <w:r>
        <w:rPr>
          <w:rFonts w:cs="Arial"/>
          <w:color w:val="0076B9"/>
        </w:rPr>
        <w:t>Initiative Holzwärme - Factsheet zur Studie Hybride Wärme</w:t>
      </w:r>
      <w:bookmarkStart w:id="1" w:name="_GoBack"/>
      <w:bookmarkEnd w:id="1"/>
    </w:p>
    <w:p w:rsidR="00357C2F" w:rsidRDefault="00201ECE">
      <w:pPr>
        <w:ind w:left="113"/>
        <w:rPr>
          <w:b/>
          <w:bCs/>
          <w:color w:val="3B3838" w:themeColor="background2" w:themeShade="40"/>
        </w:rPr>
      </w:pPr>
      <w:r>
        <w:rPr>
          <w:b/>
          <w:bCs/>
          <w:color w:val="3B3838" w:themeColor="background2" w:themeShade="40"/>
        </w:rPr>
        <w:t>Die Initiative Holzwärme (IH) übersendet ein neues Factsheet (Stand: Januar 2026). In dieser Ausgabe wird die Studie zur Kombination aus Holzfeuerstätte und Wärmepumpe thematisiert. 
</w:t>
      </w:r>
    </w:p>
    <w:p w:rsidR="00357C2F" w:rsidRDefault="00201ECE">
      <w:pPr>
        <w:ind w:left="113"/>
        <w:rPr>
          <w:b/>
          <w:bCs/>
          <w:color w:val="3B3838" w:themeColor="background2" w:themeShade="40"/>
        </w:rPr>
      </w:pPr>
      <w:r>
        <w:rPr>
          <w:noProof/>
          <w:lang w:eastAsia="de-DE"/>
        </w:rPr>
        <mc:AlternateContent>
          <mc:Choice Requires="wps">
            <w:drawing>
              <wp:inline distT="0" distB="0" distL="0" distR="0">
                <wp:extent cx="5761990" cy="20320"/>
                <wp:effectExtent l="0" t="0" r="0" b="0"/>
                <wp:docPr id="1" name=""/>
                <wp:cNvGraphicFramePr/>
                <a:graphic xmlns:a="http://schemas.openxmlformats.org/drawingml/2006/main">
                  <a:graphicData uri="http://schemas.microsoft.com/office/word/2010/wordprocessingShape">
                    <wps:wsp>
                      <wps:cNvSpPr/>
                      <wps:spPr>
                        <a:xfrm>
                          <a:off x="0" y="0"/>
                          <a:ext cx="5761440" cy="1980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fillcolor="#a0a0a0" stroked="f" style="position:absolute;margin-left:0pt;margin-top:-1.6pt;width:453.6pt;height:1.5pt;mso-position-vertical:top">
                <w10:wrap type="none"/>
                <v:fill o:detectmouseclick="t" type="solid" color2="#5f5f5f"/>
                <v:stroke color="#3465a4" joinstyle="round" endcap="flat"/>
              </v:rect>
            </w:pict>
          </mc:Fallback>
        </mc:AlternateContent>
      </w:r>
    </w:p>
    <w:tbl>
      <w:tblGrid>
        <w:gridCol/>
      </w:tblGrid>
      <w:tr>
        <w:trPr/>
        <w:tc>
          <w:tcPr/>
          <w:p>
            <w:pPr/>
            <w:r>
              <w:rPr>
                <w:b w:val="1"/>
                <w:bCs w:val="1"/>
              </w:rPr>
              <w:t xml:space="preserve">Sankt Augustin</w:t>
            </w:r>
          </w:p>
          <w:p>
            <w:pPr/>
            <w:r>
              <w:rPr/>
              <w:t xml:space="preserve">Link Factsheet: https://www.holzwaerme.info/service/downloads</w:t>
            </w:r>
          </w:p>
          <w:p>
            <w:pPr>
              <w:jc w:val="start"/>
            </w:pPr>
            <w:r>
              <w:rPr/>
              <w:t xml:space="preserve">Link Studie: https://www.holzwaerme.info/fileadmin/user_upload/Downloads/IH_Kurzstudie_Hybridheizung_mit_Wa__rmepumpe_und_Holzfeuersta__tte_Abschlussbericht_20241119.pdf</w:t>
            </w:r>
          </w:p>
          <w:p>
            <w:pPr/>
            <w:r>
              <w:rPr/>
              <w:t xml:space="preserve">Im klimapolitischen Zielszenario werden bis 2045 rund 15 Mio. Wohngebäude mit Wärmepumpen beheizt. Selbst bei günstigen Annahmen ergibt sich eine potenzielle elektrische Höchstlast von rund 56 GW. Das entspricht einem Vielfachen heutiger Kraftwerkskapazitäten und stellt das Stromsystem vor erhebliche Herausforderungen. Hybride Systeme reduzieren die elektrischen Höchstlasten und schaffen damit einen verlässlichen Ausgleich zwischen ambitionierter Elektrifizierungspolitik und der Realität eines begrenzten Stromsystems.</w:t>
            </w:r>
          </w:p>
          <w:p>
            <w:pPr/>
            <w:r>
              <w:rPr/>
              <w:t xml:space="preserve">Auf dem Weg zur Klimaneutralität im Gebäudesektor gewinnen zwei erneuerbare Wärmetechnologien besondere Bedeutung: Holzwärmetechnik und elektrisch betriebene Wärmepumpen. Beide verfügen über herausragende Leistungsmerkmale und sind – jeweils für sich betrachtet – zentrale Säulen einer nachhaltigen und zukunftsfähigen Wärmeversorgung. In der aktuellen Ausgabe werden die Vorteile und Argumente für diese hybride Wärmesysteme dargestellt.</w:t>
            </w:r>
          </w:p>
          <w:p>
            <w:pPr/>
            <w:r>
              <w:rPr/>
              <w:t xml:space="preserve">Freundliche Grüße von Ihrem ZVSHK Technik Team</w:t>
            </w:r>
          </w:p>
        </w:tc>
      </w:tr>
    </w:tbl>
    <w:p w:rsidR="00357C2F" w:rsidRDefault="00201ECE">
      <w:pPr>
        <w:spacing w:after="480"/>
        <w:ind w:left="113"/>
        <w:rPr>
          <w:rFonts w:asciiTheme="majorHAnsi" w:eastAsiaTheme="majorEastAsia" w:hAnsiTheme="majorHAnsi" w:cstheme="majorBidi"/>
          <w:color w:val="7F7F7F" w:themeColor="text1" w:themeTint="80"/>
          <w:sz w:val="20"/>
          <w:szCs w:val="20"/>
        </w:rPr>
      </w:pPr>
      <w:r>
        <w:rPr>
          <w:rFonts w:eastAsiaTheme="majorEastAsia" w:cstheme="majorBidi"/>
          <w:color w:val="7F7F7F" w:themeColor="text1" w:themeTint="80"/>
          <w:sz w:val="20"/>
          <w:szCs w:val="20"/>
        </w:rPr>
        <w:t>Quellenangabe(n): </w:t>
      </w:r>
    </w:p>
    <w:tbl>
      <w:tblPr>
        <w:tblStyle w:val="Tabellenraster"/>
        <w:tblW w:w="9062" w:type="dxa"/>
        <w:tblLook w:val="04A0" w:firstRow="1" w:lastRow="0" w:firstColumn="1" w:lastColumn="0" w:noHBand="0" w:noVBand="1"/>
      </w:tblPr>
      <w:tblGrid>
        <w:gridCol w:w="1812"/>
        <w:gridCol w:w="1809"/>
        <w:gridCol w:w="1811"/>
        <w:gridCol w:w="1812"/>
        <w:gridCol w:w="1818"/>
      </w:tblGrid>
      <w:tr w:rsidR="00357C2F">
        <w:tc>
          <w:tcPr>
            <w:tcW w:w="1812"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09"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11"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12"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18" w:type="dxa"/>
            <w:tcBorders>
              <w:top w:val="nil"/>
              <w:left w:val="nil"/>
              <w:bottom w:val="nil"/>
              <w:right w:val="nil"/>
            </w:tcBorders>
            <w:shd w:val="clear" w:color="auto" w:fill="auto"/>
          </w:tcPr>
          <w:p w:rsidR="00357C2F" w:rsidRDefault="00201ECE">
            <w:pPr>
              <w:rPr>
                <w:sz w:val="20"/>
                <w:szCs w:val="20"/>
              </w:rPr>
            </w:pPr>
            <w:r>
              <w:rPr>
                <w:sz w:val="20"/>
                <w:szCs w:val="20"/>
              </w:rPr>
              <w:t/>
            </w:r>
          </w:p>
        </w:tc>
      </w:tr>
      <w:tr w:rsidR="00357C2F">
        <w:tc>
          <w:tcPr>
            <w:tcW w:w="1812"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0"/>
                <w:szCs w:val="20"/>
              </w:rPr>
              <w:br/>
            </w:r>
            <w:r>
              <w:rPr>
                <w:sz w:val="20"/>
                <w:szCs w:val="20"/>
              </w:rPr>
              <w:t>Bildquelle:</w:t>
            </w:r>
            <w:r>
              <w:rPr>
                <w:sz w:val="20"/>
                <w:szCs w:val="20"/>
              </w:rPr>
              <w:br/>
              <w:t/>
            </w:r>
          </w:p>
        </w:tc>
        <w:tc>
          <w:tcPr>
            <w:tcW w:w="1809"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c>
          <w:tcPr>
            <w:tcW w:w="1811"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c>
          <w:tcPr>
            <w:tcW w:w="1812"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c>
          <w:tcPr>
            <w:tcW w:w="1818"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r>
    </w:tbl>
    <w:p w:rsidR="00357C2F" w:rsidRDefault="00357C2F"/>
    <w:sectPr w:rsidR="00357C2F">
      <w:headerReference w:type="default" r:id="rId6"/>
      <w:pgSz w:w="11906" w:h="16838"/>
      <w:pgMar w:top="1969" w:right="1417" w:bottom="1134" w:left="1417" w:header="567" w:footer="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01ECE">
      <w:pPr>
        <w:spacing w:after="0" w:line="240" w:lineRule="auto"/>
      </w:pPr>
      <w:r>
        <w:separator/>
      </w:r>
    </w:p>
  </w:endnote>
  <w:endnote w:type="continuationSeparator" w:id="0">
    <w:p w:rsidR="00000000" w:rsidRDefault="00201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Mono">
    <w:altName w:val="Courier New"/>
    <w:charset w:val="01"/>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01ECE">
      <w:pPr>
        <w:spacing w:after="0" w:line="240" w:lineRule="auto"/>
      </w:pPr>
      <w:r>
        <w:separator/>
      </w:r>
    </w:p>
  </w:footnote>
  <w:footnote w:type="continuationSeparator" w:id="0">
    <w:p w:rsidR="00000000" w:rsidRDefault="00201E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2F" w:rsidRDefault="00201ECE">
    <w:pPr>
      <w:pStyle w:val="Kopfzeile"/>
      <w:ind w:left="113"/>
      <w:jc w:val="both"/>
      <w:rPr>
        <w:sz w:val="15"/>
        <w:szCs w:val="15"/>
      </w:rPr>
    </w:pPr>
    <w:r>
      <w:rPr>
        <w:sz w:val="15"/>
        <w:szCs w:val="15"/>
      </w:rPr>
      <w:t>Dieses Dokument ist nicht für die direkte Veröffentlich</w:t>
    </w:r>
    <w:r>
      <w:rPr>
        <w:sz w:val="15"/>
        <w:szCs w:val="15"/>
      </w:rPr>
      <w:t>ung bestimmt, sondern stellt lediglich den Text in formatierter Form zur Verfügung.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C2F"/>
    <w:rsid w:val="00201ECE"/>
    <w:rsid w:val="00357C2F"/>
    <w:rsid w:val="0073030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FD48CB-4A3E-400F-86D1-E5F19C36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next w:val="Standard"/>
    <w:uiPriority w:val="9"/>
    <w:qFormat/>
    <w:rsid w:val="00660E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660E5A"/>
    <w:rPr>
      <w:rFonts w:asciiTheme="majorHAnsi" w:eastAsiaTheme="majorEastAsia" w:hAnsiTheme="majorHAnsi" w:cstheme="majorBidi"/>
      <w:color w:val="2E74B5" w:themeColor="accent1" w:themeShade="BF"/>
      <w:sz w:val="32"/>
      <w:szCs w:val="32"/>
    </w:rPr>
  </w:style>
  <w:style w:type="character" w:customStyle="1" w:styleId="FuzeileZchn">
    <w:name w:val="Fußzeile Zchn"/>
    <w:basedOn w:val="Absatz-Standardschriftart"/>
    <w:link w:val="Fuzeile"/>
    <w:uiPriority w:val="99"/>
    <w:qFormat/>
    <w:rsid w:val="00C221A2"/>
  </w:style>
  <w:style w:type="paragraph" w:customStyle="1" w:styleId="berschrift">
    <w:name w:val="Überschrift"/>
    <w:basedOn w:val="Standard"/>
    <w:next w:val="Textkrper"/>
    <w:qFormat/>
    <w:pPr>
      <w:keepNext/>
      <w:spacing w:before="240" w:after="120"/>
    </w:pPr>
    <w:rPr>
      <w:rFonts w:ascii="Liberation Sans" w:eastAsia="Droid Sans Fallback" w:hAnsi="Liberation Sans" w:cs="FreeSans"/>
      <w:sz w:val="28"/>
      <w:szCs w:val="28"/>
    </w:rPr>
  </w:style>
  <w:style w:type="paragraph" w:styleId="Textkrper">
    <w:name w:val="Body Text"/>
    <w:basedOn w:val="Standard"/>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VorformatierterText">
    <w:name w:val="Vorformatierter Text"/>
    <w:basedOn w:val="Standard"/>
    <w:qFormat/>
    <w:pPr>
      <w:spacing w:after="0"/>
    </w:pPr>
    <w:rPr>
      <w:rFonts w:ascii="Liberation Mono" w:eastAsia="Liberation Mono" w:hAnsi="Liberation Mono" w:cs="Liberation Mono"/>
      <w:sz w:val="20"/>
      <w:szCs w:val="20"/>
    </w:rPr>
  </w:style>
  <w:style w:type="paragraph" w:styleId="Kopfzeile">
    <w:name w:val="header"/>
    <w:basedOn w:val="Standard"/>
    <w:pPr>
      <w:suppressLineNumbers/>
      <w:tabs>
        <w:tab w:val="center" w:pos="4536"/>
        <w:tab w:val="right" w:pos="9072"/>
      </w:tabs>
    </w:pPr>
  </w:style>
  <w:style w:type="paragraph" w:styleId="Fuzeile">
    <w:name w:val="footer"/>
    <w:basedOn w:val="Standard"/>
    <w:link w:val="FuzeileZchn"/>
    <w:uiPriority w:val="99"/>
    <w:unhideWhenUsed/>
    <w:rsid w:val="00C221A2"/>
    <w:pPr>
      <w:tabs>
        <w:tab w:val="center" w:pos="4536"/>
        <w:tab w:val="right" w:pos="9072"/>
      </w:tabs>
      <w:spacing w:after="0" w:line="240" w:lineRule="auto"/>
    </w:pPr>
  </w:style>
  <w:style w:type="table" w:styleId="Tabellenraster">
    <w:name w:val="Table Grid"/>
    <w:basedOn w:val="NormaleTabelle"/>
    <w:uiPriority w:val="39"/>
    <w:rsid w:val="00E85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545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Dahlke</dc:creator>
  <dc:description/>
  <cp:lastModifiedBy>Thomas Dahlke</cp:lastModifiedBy>
  <cp:revision>28</cp:revision>
  <dcterms:created xsi:type="dcterms:W3CDTF">2022-03-24T14:10:00Z</dcterms:created>
  <dcterms:modified xsi:type="dcterms:W3CDTF">2022-09-08T13:21:00Z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